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7A" w:rsidRPr="001D7C76" w:rsidRDefault="0064367A" w:rsidP="0064367A">
      <w:pPr>
        <w:spacing w:line="360" w:lineRule="auto"/>
        <w:jc w:val="center"/>
        <w:rPr>
          <w:b/>
        </w:rPr>
      </w:pPr>
      <w:r>
        <w:rPr>
          <w:b/>
        </w:rPr>
        <w:t>Виды</w:t>
      </w:r>
      <w:r w:rsidRPr="00E70EEE">
        <w:rPr>
          <w:b/>
        </w:rPr>
        <w:t xml:space="preserve"> оценивания и их ключевые различия</w:t>
      </w:r>
    </w:p>
    <w:tbl>
      <w:tblPr>
        <w:tblStyle w:val="a3"/>
        <w:tblW w:w="14767" w:type="dxa"/>
        <w:tblLayout w:type="fixed"/>
        <w:tblLook w:val="00BF"/>
      </w:tblPr>
      <w:tblGrid>
        <w:gridCol w:w="1951"/>
        <w:gridCol w:w="1701"/>
        <w:gridCol w:w="2894"/>
        <w:gridCol w:w="2551"/>
        <w:gridCol w:w="2835"/>
        <w:gridCol w:w="2835"/>
      </w:tblGrid>
      <w:tr w:rsidR="0064367A" w:rsidRPr="00FB2B60" w:rsidTr="00955B01">
        <w:tc>
          <w:tcPr>
            <w:tcW w:w="1951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FB2B60">
              <w:rPr>
                <w:b/>
                <w:sz w:val="20"/>
                <w:szCs w:val="20"/>
              </w:rPr>
              <w:t>Внутриклассное</w:t>
            </w:r>
            <w:proofErr w:type="spellEnd"/>
            <w:r w:rsidRPr="00FB2B60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5445" w:type="dxa"/>
            <w:gridSpan w:val="2"/>
          </w:tcPr>
          <w:p w:rsidR="0064367A" w:rsidRPr="00FB2B60" w:rsidRDefault="0064367A" w:rsidP="00955B01">
            <w:pPr>
              <w:spacing w:line="360" w:lineRule="auto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Крупномасштабные</w:t>
            </w:r>
            <w:r>
              <w:rPr>
                <w:b/>
                <w:sz w:val="20"/>
                <w:szCs w:val="20"/>
              </w:rPr>
              <w:t xml:space="preserve"> оценки</w:t>
            </w:r>
          </w:p>
        </w:tc>
        <w:tc>
          <w:tcPr>
            <w:tcW w:w="5670" w:type="dxa"/>
            <w:gridSpan w:val="2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Государственные экзамены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национальные</w:t>
            </w:r>
          </w:p>
        </w:tc>
        <w:tc>
          <w:tcPr>
            <w:tcW w:w="2551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международные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выпускные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вступительные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E70EEE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E70EEE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Моментальная обратная связь для информирования классного руководителя</w:t>
            </w:r>
          </w:p>
        </w:tc>
        <w:tc>
          <w:tcPr>
            <w:tcW w:w="2894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данных об общем здоровье системы на уровне конкретной возрастной группы</w:t>
            </w:r>
            <w:r w:rsidRPr="00E70E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класса. </w:t>
            </w:r>
          </w:p>
          <w:p w:rsidR="0064367A" w:rsidRPr="00E70EEE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тенденций в обучении</w:t>
            </w:r>
          </w:p>
        </w:tc>
        <w:tc>
          <w:tcPr>
            <w:tcW w:w="2551" w:type="dxa"/>
          </w:tcPr>
          <w:p w:rsidR="0064367A" w:rsidRPr="00E70EEE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сравнительных данных системы образования на уровне конкретного класса</w:t>
            </w:r>
            <w:r w:rsidRPr="00E70E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возраста</w:t>
            </w:r>
          </w:p>
        </w:tc>
        <w:tc>
          <w:tcPr>
            <w:tcW w:w="2835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Сертификация учеников по мере продвижения с одного уровня система образования на </w:t>
            </w:r>
            <w:proofErr w:type="gramStart"/>
            <w:r>
              <w:rPr>
                <w:sz w:val="20"/>
                <w:szCs w:val="20"/>
              </w:rPr>
              <w:t>следующую</w:t>
            </w:r>
            <w:proofErr w:type="gramEnd"/>
            <w:r>
              <w:rPr>
                <w:sz w:val="20"/>
                <w:szCs w:val="20"/>
              </w:rPr>
              <w:t xml:space="preserve"> (или на рабочее место)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учащихся для получения дальнейшего образования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Частота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конкретному предмету рекомендуется на регулярной основе (каждые 3 -5 лет)</w:t>
            </w:r>
          </w:p>
        </w:tc>
        <w:tc>
          <w:tcPr>
            <w:tcW w:w="2551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конкретному предмету рекомендуется на регулярной основе (каждые 3 -5 лет)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и чаще, где система позволяет повторять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и чаще, где система позволяет повторять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Кто тестируется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учащиеся</w:t>
            </w:r>
          </w:p>
        </w:tc>
        <w:tc>
          <w:tcPr>
            <w:tcW w:w="2894" w:type="dxa"/>
          </w:tcPr>
          <w:p w:rsidR="0064367A" w:rsidRPr="00270EEC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 или все учащиеся определенного класса</w:t>
            </w:r>
            <w:r w:rsidRPr="00270E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возраста</w:t>
            </w:r>
          </w:p>
        </w:tc>
        <w:tc>
          <w:tcPr>
            <w:tcW w:w="2551" w:type="dxa"/>
          </w:tcPr>
          <w:p w:rsidR="0064367A" w:rsidRPr="00270EEC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 учащихся определенного класса</w:t>
            </w:r>
            <w:r w:rsidRPr="00270E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возраста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выпускники</w:t>
            </w:r>
          </w:p>
        </w:tc>
        <w:tc>
          <w:tcPr>
            <w:tcW w:w="2835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поступающие, которые хотят сдавать данный экзамен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Формат</w:t>
            </w:r>
          </w:p>
        </w:tc>
        <w:tc>
          <w:tcPr>
            <w:tcW w:w="1701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Варьируется от наблюдения до опросов и письменных работ учащихся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это множественный выбор и короткий ответ</w:t>
            </w:r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это множественный выбор и короткий ответ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сочинение или множественный выбор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сочинение или множественный выбор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Охват учебного плана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предметы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ограничивается несколькими предметами</w:t>
            </w:r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ограничивается одним или двумя предметами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Охватывает основные предметные области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Охватывает основные предметные области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Default="0064367A" w:rsidP="00955B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8F47F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F47FA">
              <w:rPr>
                <w:b/>
                <w:sz w:val="20"/>
                <w:szCs w:val="20"/>
              </w:rPr>
              <w:t>и</w:t>
            </w:r>
            <w:proofErr w:type="gramEnd"/>
            <w:r w:rsidRPr="008F47FA">
              <w:rPr>
                <w:b/>
                <w:sz w:val="20"/>
                <w:szCs w:val="20"/>
              </w:rPr>
              <w:t xml:space="preserve">нформация, </w:t>
            </w:r>
            <w:r>
              <w:rPr>
                <w:b/>
                <w:sz w:val="20"/>
                <w:szCs w:val="20"/>
              </w:rPr>
              <w:t>с</w:t>
            </w:r>
            <w:r w:rsidRPr="008F47FA">
              <w:rPr>
                <w:b/>
                <w:sz w:val="20"/>
                <w:szCs w:val="20"/>
              </w:rPr>
              <w:t>обранная от учащихся</w:t>
            </w:r>
          </w:p>
          <w:p w:rsidR="0064367A" w:rsidRPr="008F47FA" w:rsidRDefault="0064367A" w:rsidP="00955B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67A" w:rsidRPr="008F47F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как часть учебного процесса 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Подсчёт баллов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неформальное и простое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Варьируется от простых до более сложных статистических методов</w:t>
            </w:r>
            <w:proofErr w:type="gramEnd"/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задействованы сложные</w:t>
            </w:r>
            <w:r w:rsidRPr="00D71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статистические</w:t>
            </w:r>
            <w:r w:rsidRPr="00D71CE4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Варьируется от простых до более сложных статистических методов</w:t>
            </w:r>
            <w:proofErr w:type="gramEnd"/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Варьируется от простых до более сложных статистических методов</w:t>
            </w:r>
            <w:proofErr w:type="gramEnd"/>
          </w:p>
        </w:tc>
      </w:tr>
    </w:tbl>
    <w:p w:rsidR="0064367A" w:rsidRPr="00AD17C2" w:rsidRDefault="0064367A" w:rsidP="0064367A">
      <w:pPr>
        <w:spacing w:line="360" w:lineRule="auto"/>
        <w:jc w:val="both"/>
        <w:rPr>
          <w:sz w:val="20"/>
          <w:szCs w:val="20"/>
        </w:rPr>
      </w:pPr>
      <w:r w:rsidRPr="00AD17C2">
        <w:rPr>
          <w:sz w:val="20"/>
          <w:szCs w:val="20"/>
        </w:rPr>
        <w:t>Источник: Всемирный банк</w:t>
      </w:r>
    </w:p>
    <w:p w:rsidR="00256954" w:rsidRDefault="00256954" w:rsidP="0064367A"/>
    <w:p w:rsidR="00FE10E9" w:rsidRPr="0065744A" w:rsidRDefault="00FE10E9" w:rsidP="00FE10E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результаты, оцениваемые в международных сравнительных исследованиях</w:t>
      </w:r>
    </w:p>
    <w:p w:rsidR="00FE10E9" w:rsidRPr="00007468" w:rsidRDefault="00FE10E9" w:rsidP="00FE10E9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3"/>
        <w:tblW w:w="14818" w:type="dxa"/>
        <w:tblLook w:val="04A0"/>
      </w:tblPr>
      <w:tblGrid>
        <w:gridCol w:w="5353"/>
        <w:gridCol w:w="4536"/>
        <w:gridCol w:w="4929"/>
      </w:tblGrid>
      <w:tr w:rsidR="00FE10E9" w:rsidRPr="00FE10E9" w:rsidTr="00955B01">
        <w:tc>
          <w:tcPr>
            <w:tcW w:w="5353" w:type="dxa"/>
          </w:tcPr>
          <w:p w:rsidR="00FE10E9" w:rsidRPr="00FE10E9" w:rsidRDefault="00FE10E9" w:rsidP="00955B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E10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PISA</w:t>
            </w:r>
          </w:p>
        </w:tc>
        <w:tc>
          <w:tcPr>
            <w:tcW w:w="4536" w:type="dxa"/>
          </w:tcPr>
          <w:p w:rsidR="00FE10E9" w:rsidRPr="00FE10E9" w:rsidRDefault="00FE10E9" w:rsidP="00955B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E10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PIRLS</w:t>
            </w:r>
          </w:p>
        </w:tc>
        <w:tc>
          <w:tcPr>
            <w:tcW w:w="4929" w:type="dxa"/>
          </w:tcPr>
          <w:p w:rsidR="00FE10E9" w:rsidRPr="00FE10E9" w:rsidRDefault="00FE10E9" w:rsidP="00955B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E10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TIMSS</w:t>
            </w:r>
          </w:p>
        </w:tc>
      </w:tr>
      <w:tr w:rsidR="00FE10E9" w:rsidRPr="00FE10E9" w:rsidTr="00955B01">
        <w:tc>
          <w:tcPr>
            <w:tcW w:w="5353" w:type="dxa"/>
          </w:tcPr>
          <w:p w:rsidR="00FE10E9" w:rsidRPr="00FE10E9" w:rsidRDefault="00FE10E9" w:rsidP="00955B01">
            <w:pPr>
              <w:pStyle w:val="Default"/>
              <w:jc w:val="both"/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</w:pPr>
            <w:r w:rsidRPr="00FE10E9">
              <w:rPr>
                <w:rFonts w:ascii="TimesNewRomanPS-BoldMT" w:eastAsiaTheme="minorHAnsi" w:hAnsi="TimesNewRomanPS-BoldMT" w:cs="TimesNewRomanPS-BoldMT"/>
                <w:b/>
                <w:bCs/>
                <w:i/>
                <w:sz w:val="22"/>
                <w:szCs w:val="22"/>
                <w:lang w:eastAsia="en-US"/>
              </w:rPr>
              <w:t>Читательская грамотность</w:t>
            </w:r>
            <w:r w:rsidRPr="00FE10E9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  <w:p w:rsidR="00FE10E9" w:rsidRPr="00FE10E9" w:rsidRDefault="00FE10E9" w:rsidP="00955B01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</w:pPr>
            <w:r w:rsidRPr="00FE10E9">
              <w:rPr>
                <w:rFonts w:ascii="TimesNewRomanPS-BoldMT" w:eastAsiaTheme="minorHAnsi" w:hAnsi="TimesNewRomanPS-BoldMT" w:cs="TimesNewRomanPS-BoldMT"/>
                <w:b/>
                <w:bCs/>
                <w:i/>
                <w:sz w:val="22"/>
                <w:szCs w:val="22"/>
                <w:lang w:eastAsia="en-US"/>
              </w:rPr>
              <w:t>Математическая грамотность</w:t>
            </w:r>
            <w:r w:rsidRPr="00FE10E9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      </w:r>
          </w:p>
          <w:p w:rsidR="00FE10E9" w:rsidRPr="00FE10E9" w:rsidRDefault="00FE10E9" w:rsidP="00955B01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</w:pPr>
            <w:r w:rsidRPr="00FE10E9">
              <w:rPr>
                <w:rFonts w:ascii="TimesNewRomanPS-BoldMT" w:eastAsiaTheme="minorHAnsi" w:hAnsi="TimesNewRomanPS-BoldMT" w:cs="TimesNewRomanPS-BoldMT"/>
                <w:b/>
                <w:bCs/>
                <w:i/>
                <w:sz w:val="22"/>
                <w:szCs w:val="22"/>
                <w:lang w:eastAsia="en-US"/>
              </w:rPr>
              <w:t>Естественнонаучная грамотность</w:t>
            </w:r>
            <w:r w:rsidRPr="00FE10E9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 xml:space="preserve"> – способность человека осваивать и использовать естественнонаучные знания </w:t>
            </w:r>
            <w:proofErr w:type="gramStart"/>
            <w:r w:rsidRPr="00FE10E9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FE10E9" w:rsidRPr="00FE10E9" w:rsidRDefault="00FE10E9" w:rsidP="00955B01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</w:pPr>
            <w:r w:rsidRPr="00FE10E9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 xml:space="preserve">распознания и постановки вопросов, для освоения новых знаний, для объяснения естественнонаучных явлений и </w:t>
            </w:r>
            <w:proofErr w:type="gramStart"/>
            <w:r w:rsidRPr="00FE10E9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>формулирования</w:t>
            </w:r>
            <w:proofErr w:type="gramEnd"/>
            <w:r w:rsidRPr="00FE10E9">
              <w:rPr>
                <w:rFonts w:ascii="TimesNewRomanPS-BoldMT" w:eastAsiaTheme="minorHAnsi" w:hAnsi="TimesNewRomanPS-BoldMT" w:cs="TimesNewRomanPS-BoldMT"/>
                <w:bCs/>
                <w:sz w:val="22"/>
                <w:szCs w:val="22"/>
                <w:lang w:eastAsia="en-US"/>
              </w:rPr>
      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      </w:r>
          </w:p>
        </w:tc>
        <w:tc>
          <w:tcPr>
            <w:tcW w:w="4536" w:type="dxa"/>
          </w:tcPr>
          <w:p w:rsidR="00FE10E9" w:rsidRPr="00FE10E9" w:rsidRDefault="00FE10E9" w:rsidP="00955B01">
            <w:pPr>
              <w:pStyle w:val="Default"/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FE10E9"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Читательская грамотность</w:t>
            </w:r>
            <w:r w:rsidRPr="00FE10E9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– способность человека понимать и использовать письменные тексты, </w:t>
            </w:r>
            <w:r w:rsidRPr="00FE10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строить свои смыслы на основе разнообразных текстов </w:t>
            </w:r>
            <w:r w:rsidRPr="00FE10E9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для того, чтобы учиться, </w:t>
            </w:r>
            <w:r w:rsidRPr="00FE10E9">
              <w:rPr>
                <w:rFonts w:ascii="Times New Roman" w:hAnsi="Times New Roman" w:cs="Times New Roman"/>
                <w:bCs/>
                <w:sz w:val="22"/>
                <w:szCs w:val="22"/>
              </w:rPr>
              <w:t>участвовать в читательских сообществах в школе и в обыденной жизни, получать удовольствие</w:t>
            </w:r>
            <w:r w:rsidRPr="00FE10E9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</w:p>
          <w:p w:rsidR="00FE10E9" w:rsidRPr="00FE10E9" w:rsidRDefault="00FE10E9" w:rsidP="00955B0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E10E9" w:rsidRPr="00FE10E9" w:rsidRDefault="00FE10E9" w:rsidP="00955B0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="00FE10E9" w:rsidRPr="00FE10E9" w:rsidRDefault="00FE10E9" w:rsidP="00955B0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E10E9" w:rsidRPr="00FE10E9" w:rsidRDefault="00FE10E9" w:rsidP="00955B0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 xml:space="preserve">Оцениваются результаты </w:t>
            </w:r>
            <w:proofErr w:type="gramStart"/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>обучения по математике</w:t>
            </w:r>
            <w:proofErr w:type="gramEnd"/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 xml:space="preserve"> и естествознанию.</w:t>
            </w:r>
          </w:p>
          <w:p w:rsidR="00FE10E9" w:rsidRPr="00FE10E9" w:rsidRDefault="00FE10E9" w:rsidP="00955B0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  <w:r w:rsidRPr="00FE10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Знание </w:t>
            </w:r>
            <w:r w:rsidRPr="00FE10E9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>знание фактов</w:t>
            </w:r>
            <w:r w:rsidRPr="00FE10E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>понятий и процедур</w:t>
            </w:r>
            <w:r w:rsidRPr="00FE10E9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E10E9" w:rsidRPr="00FE10E9" w:rsidRDefault="00FE10E9" w:rsidP="00955B0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  <w:r w:rsidRPr="00FE10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Применение </w:t>
            </w:r>
            <w:r w:rsidRPr="00FE10E9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 xml:space="preserve"> способность учащихся применять знания и понимание изученных понятий и методов для решения задач</w:t>
            </w:r>
            <w:r w:rsidRPr="00FE10E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>в которых в основном приходится иметь дело либо со знакомыми учебными ситуациями</w:t>
            </w:r>
            <w:r w:rsidRPr="00FE10E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>либо с несколько измененными ситуациями</w:t>
            </w:r>
          </w:p>
          <w:p w:rsidR="00FE10E9" w:rsidRPr="00FE10E9" w:rsidRDefault="00FE10E9" w:rsidP="00955B0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  <w:r w:rsidRPr="00FE10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Рассуждения </w:t>
            </w:r>
            <w:r w:rsidRPr="00FE10E9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 xml:space="preserve">явно выходит за рамки решения стандартных задач и </w:t>
            </w:r>
            <w:proofErr w:type="gramStart"/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>связан</w:t>
            </w:r>
            <w:proofErr w:type="gramEnd"/>
            <w:r w:rsidRPr="00FE10E9">
              <w:rPr>
                <w:rFonts w:eastAsia="TimesNewRomanPSMT"/>
                <w:sz w:val="22"/>
                <w:szCs w:val="22"/>
                <w:lang w:eastAsia="en-US"/>
              </w:rPr>
              <w:t xml:space="preserve"> с применением знаний в незнакомой для учащихся ситуации.</w:t>
            </w:r>
          </w:p>
          <w:p w:rsidR="00FE10E9" w:rsidRPr="00FE10E9" w:rsidRDefault="00FE10E9" w:rsidP="00955B01">
            <w:pPr>
              <w:pStyle w:val="Default"/>
              <w:rPr>
                <w:rFonts w:ascii="Times New Roman" w:eastAsia="TimesNewRomanPSMT" w:hAnsi="Times New Roman" w:cs="Times New Roman"/>
                <w:sz w:val="22"/>
                <w:szCs w:val="22"/>
                <w:lang w:eastAsia="en-US"/>
              </w:rPr>
            </w:pPr>
          </w:p>
          <w:p w:rsidR="00FE10E9" w:rsidRPr="00FE10E9" w:rsidRDefault="00FE10E9" w:rsidP="00955B0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FE10E9" w:rsidRPr="005E3867" w:rsidRDefault="00FE10E9" w:rsidP="00FE10E9"/>
    <w:p w:rsidR="00FE10E9" w:rsidRDefault="00FE10E9" w:rsidP="0064367A"/>
    <w:p w:rsidR="00FE10E9" w:rsidRDefault="00FE10E9" w:rsidP="00FE10E9">
      <w:pPr>
        <w:spacing w:after="250"/>
        <w:jc w:val="center"/>
        <w:rPr>
          <w:rFonts w:ascii="Arial" w:hAnsi="Arial" w:cs="Arial"/>
          <w:color w:val="000000"/>
        </w:rPr>
      </w:pPr>
    </w:p>
    <w:p w:rsidR="00FE10E9" w:rsidRDefault="00FE10E9" w:rsidP="00FE10E9">
      <w:pPr>
        <w:spacing w:after="2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Образовательные результаты – навыки 21 века</w:t>
      </w:r>
    </w:p>
    <w:p w:rsidR="00FE10E9" w:rsidRPr="00FA66A5" w:rsidRDefault="00FE10E9" w:rsidP="00FE10E9">
      <w:pPr>
        <w:spacing w:after="120"/>
        <w:jc w:val="center"/>
        <w:rPr>
          <w:rFonts w:ascii="Arial" w:hAnsi="Arial" w:cs="Arial"/>
          <w:color w:val="000000"/>
        </w:rPr>
      </w:pPr>
    </w:p>
    <w:tbl>
      <w:tblPr>
        <w:tblW w:w="14645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2788"/>
        <w:gridCol w:w="3024"/>
        <w:gridCol w:w="2134"/>
        <w:gridCol w:w="3580"/>
      </w:tblGrid>
      <w:tr w:rsidR="00FE10E9" w:rsidRPr="00FE10E9" w:rsidTr="00FE10E9">
        <w:trPr>
          <w:tblHeader/>
          <w:tblCellSpacing w:w="15" w:type="dxa"/>
        </w:trPr>
        <w:tc>
          <w:tcPr>
            <w:tcW w:w="3074" w:type="dxa"/>
            <w:shd w:val="clear" w:color="auto" w:fill="D9D9D9"/>
            <w:vAlign w:val="center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Рамочная модель  партнерства «Формирование навыков XXI века» </w:t>
            </w:r>
            <w:r w:rsidRPr="00FE10E9">
              <w:rPr>
                <w:sz w:val="20"/>
                <w:szCs w:val="20"/>
              </w:rPr>
              <w:t>(2009 г.)</w:t>
            </w:r>
          </w:p>
        </w:tc>
        <w:tc>
          <w:tcPr>
            <w:tcW w:w="2758" w:type="dxa"/>
            <w:shd w:val="clear" w:color="auto" w:fill="D9D9D9"/>
            <w:vAlign w:val="center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Проект «Оценка и освоение навыков XXI века» (ATC21)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(2010 г.)</w:t>
            </w:r>
          </w:p>
        </w:tc>
        <w:tc>
          <w:tcPr>
            <w:tcW w:w="2994" w:type="dxa"/>
            <w:shd w:val="clear" w:color="auto" w:fill="D9D9D9"/>
            <w:vAlign w:val="center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 xml:space="preserve">Базовые условия </w:t>
            </w:r>
            <w:proofErr w:type="spellStart"/>
            <w:r w:rsidRPr="00FE10E9">
              <w:rPr>
                <w:b/>
                <w:bCs/>
                <w:sz w:val="20"/>
                <w:szCs w:val="20"/>
              </w:rPr>
              <w:t>enGauge</w:t>
            </w:r>
            <w:proofErr w:type="spellEnd"/>
            <w:r w:rsidRPr="00FE10E9">
              <w:rPr>
                <w:b/>
                <w:bCs/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(2003 г.)</w:t>
            </w:r>
          </w:p>
        </w:tc>
        <w:tc>
          <w:tcPr>
            <w:tcW w:w="2104" w:type="dxa"/>
            <w:shd w:val="clear" w:color="auto" w:fill="D9D9D9"/>
            <w:vAlign w:val="center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 xml:space="preserve">Восемь ключевых компетентностей, принятых в ЕС </w:t>
            </w:r>
            <w:r w:rsidRPr="00FE10E9">
              <w:rPr>
                <w:sz w:val="20"/>
                <w:szCs w:val="20"/>
              </w:rPr>
              <w:t>(2004 г.)</w:t>
            </w:r>
          </w:p>
        </w:tc>
        <w:tc>
          <w:tcPr>
            <w:tcW w:w="3535" w:type="dxa"/>
            <w:shd w:val="clear" w:color="auto" w:fill="D9D9D9"/>
            <w:vAlign w:val="center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 xml:space="preserve">Проект «Определение и отбор ключевых компетентностей» </w:t>
            </w:r>
            <w:proofErr w:type="spellStart"/>
            <w:r w:rsidRPr="00FE10E9">
              <w:rPr>
                <w:b/>
                <w:bCs/>
                <w:sz w:val="20"/>
                <w:szCs w:val="20"/>
              </w:rPr>
              <w:t>DeSeCo</w:t>
            </w:r>
            <w:proofErr w:type="spellEnd"/>
          </w:p>
        </w:tc>
      </w:tr>
      <w:tr w:rsidR="00FE10E9" w:rsidRPr="00FE10E9" w:rsidTr="00FE10E9">
        <w:trPr>
          <w:tblCellSpacing w:w="15" w:type="dxa"/>
        </w:trPr>
        <w:tc>
          <w:tcPr>
            <w:tcW w:w="11020" w:type="dxa"/>
            <w:gridSpan w:val="4"/>
            <w:shd w:val="clear" w:color="auto" w:fill="F2F2F2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i/>
                <w:iCs/>
                <w:sz w:val="20"/>
                <w:szCs w:val="20"/>
              </w:rPr>
              <w:t>Основные предметы</w:t>
            </w:r>
          </w:p>
        </w:tc>
        <w:tc>
          <w:tcPr>
            <w:tcW w:w="3535" w:type="dxa"/>
            <w:shd w:val="clear" w:color="auto" w:fill="F2F2F2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i/>
                <w:iCs/>
                <w:sz w:val="20"/>
                <w:szCs w:val="20"/>
              </w:rPr>
              <w:t>Интерактивное использование инструментов</w:t>
            </w:r>
          </w:p>
        </w:tc>
      </w:tr>
      <w:tr w:rsidR="00FE10E9" w:rsidRPr="00FE10E9" w:rsidTr="00FE10E9">
        <w:trPr>
          <w:tblCellSpacing w:w="15" w:type="dxa"/>
        </w:trPr>
        <w:tc>
          <w:tcPr>
            <w:tcW w:w="307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 xml:space="preserve">Основные предметы и темы XXI века 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Основные предметы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Глобальная осведомленность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Финансовая, экономическая, деловая, предпринимательская грамотность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Гражданская грамотность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Медицинская грамотность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Экологическая грамотность</w:t>
            </w:r>
          </w:p>
        </w:tc>
        <w:tc>
          <w:tcPr>
            <w:tcW w:w="2758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Способы работы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Общение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Совместная   (командная) работа</w:t>
            </w:r>
          </w:p>
        </w:tc>
        <w:tc>
          <w:tcPr>
            <w:tcW w:w="299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Высокая продуктивность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Способность определять приоритеты, планировать, управлять с ориентацией на результат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Эффективное использование инструментов реального мира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создавать актуальные высококачественные продукты</w:t>
            </w:r>
          </w:p>
        </w:tc>
        <w:tc>
          <w:tcPr>
            <w:tcW w:w="210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Общение на родном языке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b/>
                <w:bCs/>
                <w:sz w:val="20"/>
                <w:szCs w:val="20"/>
              </w:rPr>
              <w:t>Общение на иностранном языке </w:t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b/>
                <w:bCs/>
                <w:sz w:val="20"/>
                <w:szCs w:val="20"/>
              </w:rPr>
              <w:t>Математическая грамотность и базовая компетентность в области науки и техники</w:t>
            </w:r>
          </w:p>
        </w:tc>
        <w:tc>
          <w:tcPr>
            <w:tcW w:w="3535" w:type="dxa"/>
            <w:hideMark/>
          </w:tcPr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интерактивно пользоваться языком, символами и текстом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интерактивно пользоваться знаниями и информацией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интерактивно пользоваться технологиями</w:t>
            </w:r>
          </w:p>
        </w:tc>
      </w:tr>
      <w:tr w:rsidR="00FE10E9" w:rsidRPr="00FE10E9" w:rsidTr="00FE10E9">
        <w:trPr>
          <w:tblCellSpacing w:w="15" w:type="dxa"/>
        </w:trPr>
        <w:tc>
          <w:tcPr>
            <w:tcW w:w="11020" w:type="dxa"/>
            <w:gridSpan w:val="4"/>
            <w:shd w:val="clear" w:color="auto" w:fill="F2F2F2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i/>
                <w:iCs/>
                <w:sz w:val="20"/>
                <w:szCs w:val="20"/>
              </w:rPr>
              <w:t xml:space="preserve">Социальная компетентность </w:t>
            </w:r>
          </w:p>
        </w:tc>
        <w:tc>
          <w:tcPr>
            <w:tcW w:w="3535" w:type="dxa"/>
            <w:shd w:val="clear" w:color="auto" w:fill="F2F2F2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i/>
                <w:iCs/>
                <w:sz w:val="20"/>
                <w:szCs w:val="20"/>
              </w:rPr>
              <w:t>Взаимодействие в разнородных группах</w:t>
            </w:r>
          </w:p>
        </w:tc>
      </w:tr>
      <w:tr w:rsidR="00FE10E9" w:rsidRPr="00FE10E9" w:rsidTr="00FE10E9">
        <w:trPr>
          <w:tblCellSpacing w:w="15" w:type="dxa"/>
        </w:trPr>
        <w:tc>
          <w:tcPr>
            <w:tcW w:w="307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Навыки для жизни и карьеры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 xml:space="preserve">Гибкость и способность к адаптации 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Инициативность и самостоятельная ориентация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Социальные и межкультурные навыки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lastRenderedPageBreak/>
              <w:t xml:space="preserve">Продуктивность и умение брать на себя ответственность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Лидерство и ответственность </w:t>
            </w:r>
          </w:p>
        </w:tc>
        <w:tc>
          <w:tcPr>
            <w:tcW w:w="2758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lastRenderedPageBreak/>
              <w:t>Жизнь в мире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Осознание себя гражданином своей страны и мира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Навыки для жизни и карьеры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Личная и социальная ответственность (в т.ч. культурная осведомленность и компетентность)</w:t>
            </w:r>
          </w:p>
        </w:tc>
        <w:tc>
          <w:tcPr>
            <w:tcW w:w="299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Эффективная коммуникация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 xml:space="preserve">Навыки командной и совместной работы, межличностные навыки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Личная, социальная, гражданская ответственность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Интерактивное общение</w:t>
            </w:r>
          </w:p>
        </w:tc>
        <w:tc>
          <w:tcPr>
            <w:tcW w:w="210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Межличностная и гражданская компетентность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b/>
                <w:bCs/>
                <w:sz w:val="20"/>
                <w:szCs w:val="20"/>
              </w:rPr>
              <w:t>Выражение культурной идентичности</w:t>
            </w:r>
          </w:p>
        </w:tc>
        <w:tc>
          <w:tcPr>
            <w:tcW w:w="3535" w:type="dxa"/>
            <w:hideMark/>
          </w:tcPr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хорошо взаимодействовать с другими людьми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Способность сотрудничать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управлять и разрешать конфликты</w:t>
            </w:r>
          </w:p>
        </w:tc>
      </w:tr>
      <w:tr w:rsidR="00FE10E9" w:rsidRPr="00FE10E9" w:rsidTr="00FE10E9">
        <w:trPr>
          <w:tblCellSpacing w:w="15" w:type="dxa"/>
        </w:trPr>
        <w:tc>
          <w:tcPr>
            <w:tcW w:w="11020" w:type="dxa"/>
            <w:gridSpan w:val="4"/>
            <w:shd w:val="clear" w:color="auto" w:fill="F2F2F2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i/>
                <w:iCs/>
                <w:sz w:val="20"/>
                <w:szCs w:val="20"/>
              </w:rPr>
              <w:lastRenderedPageBreak/>
              <w:t>Инновации и дух предпринимательства</w:t>
            </w:r>
          </w:p>
        </w:tc>
        <w:tc>
          <w:tcPr>
            <w:tcW w:w="3535" w:type="dxa"/>
            <w:shd w:val="clear" w:color="auto" w:fill="F2F2F2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i/>
                <w:iCs/>
                <w:sz w:val="20"/>
                <w:szCs w:val="20"/>
              </w:rPr>
              <w:t>Способность действовать самостоятельно</w:t>
            </w:r>
          </w:p>
        </w:tc>
      </w:tr>
      <w:tr w:rsidR="00FE10E9" w:rsidRPr="00FE10E9" w:rsidTr="00FE10E9">
        <w:trPr>
          <w:tblCellSpacing w:w="15" w:type="dxa"/>
        </w:trPr>
        <w:tc>
          <w:tcPr>
            <w:tcW w:w="307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 xml:space="preserve">Навыки обучения и создания инноваций 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 xml:space="preserve">Творчество и инновации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Критическое мышление и разрешение проблем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Общение и совместная работа </w:t>
            </w:r>
          </w:p>
        </w:tc>
        <w:tc>
          <w:tcPr>
            <w:tcW w:w="2758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Способы мышления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Творчество и инновации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Критическое мышление, разрешение проблем, принятие решений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учиться новому, мета-познание</w:t>
            </w:r>
          </w:p>
        </w:tc>
        <w:tc>
          <w:tcPr>
            <w:tcW w:w="299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Изобретательное мышление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 xml:space="preserve">Способность к адаптации /комплексный подход 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Самостоятельная ориентация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Любопытство, творческий подход, желание рисковать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Мышление более высокого порядка и логическая аргументация</w:t>
            </w:r>
          </w:p>
        </w:tc>
        <w:tc>
          <w:tcPr>
            <w:tcW w:w="210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 xml:space="preserve">Способность учиться новому </w:t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sz w:val="20"/>
                <w:szCs w:val="20"/>
              </w:rPr>
              <w:br/>
            </w:r>
            <w:r w:rsidRPr="00FE10E9">
              <w:rPr>
                <w:b/>
                <w:bCs/>
                <w:sz w:val="20"/>
                <w:szCs w:val="20"/>
              </w:rPr>
              <w:t xml:space="preserve">Дух </w:t>
            </w:r>
            <w:proofErr w:type="spellStart"/>
            <w:proofErr w:type="gramStart"/>
            <w:r w:rsidRPr="00FE10E9">
              <w:rPr>
                <w:b/>
                <w:bCs/>
                <w:sz w:val="20"/>
                <w:szCs w:val="20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3535" w:type="dxa"/>
            <w:hideMark/>
          </w:tcPr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действовать в рамках более широкого контекста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Способность формировать и осуществлять жизненные планы и личные проекты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Способность отстаивать свои права, интересы, ограничения и потребности </w:t>
            </w:r>
          </w:p>
        </w:tc>
      </w:tr>
      <w:tr w:rsidR="00FE10E9" w:rsidRPr="00FE10E9" w:rsidTr="00FE10E9">
        <w:trPr>
          <w:tblCellSpacing w:w="15" w:type="dxa"/>
        </w:trPr>
        <w:tc>
          <w:tcPr>
            <w:tcW w:w="14585" w:type="dxa"/>
            <w:gridSpan w:val="5"/>
            <w:shd w:val="clear" w:color="auto" w:fill="F2F2F2"/>
            <w:hideMark/>
          </w:tcPr>
          <w:p w:rsidR="00FE10E9" w:rsidRPr="00FE10E9" w:rsidRDefault="00FE10E9" w:rsidP="00955B01">
            <w:pPr>
              <w:jc w:val="center"/>
              <w:rPr>
                <w:sz w:val="20"/>
                <w:szCs w:val="20"/>
              </w:rPr>
            </w:pPr>
            <w:r w:rsidRPr="00FE10E9">
              <w:rPr>
                <w:b/>
                <w:bCs/>
                <w:i/>
                <w:iCs/>
                <w:sz w:val="20"/>
                <w:szCs w:val="20"/>
              </w:rPr>
              <w:t>Компетентность в цифровом мире</w:t>
            </w:r>
          </w:p>
        </w:tc>
      </w:tr>
      <w:tr w:rsidR="00FE10E9" w:rsidRPr="00FE10E9" w:rsidTr="00FE10E9">
        <w:trPr>
          <w:tblCellSpacing w:w="15" w:type="dxa"/>
        </w:trPr>
        <w:tc>
          <w:tcPr>
            <w:tcW w:w="307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 xml:space="preserve">Информационные, </w:t>
            </w:r>
            <w:proofErr w:type="spellStart"/>
            <w:r w:rsidRPr="00FE10E9">
              <w:rPr>
                <w:b/>
                <w:bCs/>
                <w:sz w:val="20"/>
                <w:szCs w:val="20"/>
              </w:rPr>
              <w:t>медийные</w:t>
            </w:r>
            <w:proofErr w:type="spellEnd"/>
            <w:r w:rsidRPr="00FE10E9">
              <w:rPr>
                <w:b/>
                <w:bCs/>
                <w:sz w:val="20"/>
                <w:szCs w:val="20"/>
              </w:rPr>
              <w:t xml:space="preserve"> и технологические навыки </w:t>
            </w:r>
            <w:r w:rsidRPr="00FE10E9">
              <w:rPr>
                <w:sz w:val="20"/>
                <w:szCs w:val="20"/>
              </w:rPr>
              <w:br/>
              <w:t>Информационная грамотность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FE10E9">
              <w:rPr>
                <w:sz w:val="20"/>
                <w:szCs w:val="20"/>
              </w:rPr>
              <w:t>Медийная</w:t>
            </w:r>
            <w:proofErr w:type="spellEnd"/>
            <w:r w:rsidRPr="00FE10E9">
              <w:rPr>
                <w:sz w:val="20"/>
                <w:szCs w:val="20"/>
              </w:rPr>
              <w:t xml:space="preserve"> грамотность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ИКТ-грамотность</w:t>
            </w:r>
          </w:p>
        </w:tc>
        <w:tc>
          <w:tcPr>
            <w:tcW w:w="2758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Инструменты для работы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Информационная грамотность (исследование по источникам, фактические данные, предубеждения и т.д.)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ИКТ-грамотность</w:t>
            </w:r>
          </w:p>
        </w:tc>
        <w:tc>
          <w:tcPr>
            <w:tcW w:w="2994" w:type="dxa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Грамотность в цифровом веке</w:t>
            </w:r>
            <w:r w:rsidRPr="00FE10E9">
              <w:rPr>
                <w:sz w:val="20"/>
                <w:szCs w:val="20"/>
              </w:rPr>
              <w:t> </w:t>
            </w:r>
            <w:r w:rsidRPr="00FE10E9">
              <w:rPr>
                <w:sz w:val="20"/>
                <w:szCs w:val="20"/>
              </w:rPr>
              <w:br/>
              <w:t>Базовая, научная, экономическая, технологическая грамотность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>Визуальная и информационная грамотность</w:t>
            </w:r>
          </w:p>
          <w:p w:rsidR="00FE10E9" w:rsidRPr="00FE10E9" w:rsidRDefault="00FE10E9" w:rsidP="00955B0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10E9">
              <w:rPr>
                <w:sz w:val="20"/>
                <w:szCs w:val="20"/>
              </w:rPr>
              <w:t xml:space="preserve">Поликультурная грамотность и глобальная осведомленность </w:t>
            </w:r>
          </w:p>
        </w:tc>
        <w:tc>
          <w:tcPr>
            <w:tcW w:w="5669" w:type="dxa"/>
            <w:gridSpan w:val="2"/>
            <w:hideMark/>
          </w:tcPr>
          <w:p w:rsidR="00FE10E9" w:rsidRPr="00FE10E9" w:rsidRDefault="00FE10E9" w:rsidP="00955B01">
            <w:pPr>
              <w:rPr>
                <w:sz w:val="20"/>
                <w:szCs w:val="20"/>
              </w:rPr>
            </w:pPr>
            <w:r w:rsidRPr="00FE10E9">
              <w:rPr>
                <w:b/>
                <w:bCs/>
                <w:sz w:val="20"/>
                <w:szCs w:val="20"/>
              </w:rPr>
              <w:t>«Цифровая» компетентность</w:t>
            </w:r>
          </w:p>
        </w:tc>
      </w:tr>
    </w:tbl>
    <w:p w:rsidR="00FE10E9" w:rsidRPr="00F17C20" w:rsidRDefault="00FE10E9" w:rsidP="00FE10E9">
      <w:pPr>
        <w:rPr>
          <w:rFonts w:ascii="Arial" w:hAnsi="Arial" w:cs="Arial"/>
          <w:color w:val="000000"/>
        </w:rPr>
      </w:pPr>
      <w:r w:rsidRPr="007D71C4">
        <w:rPr>
          <w:rFonts w:ascii="Arial" w:hAnsi="Arial" w:cs="Arial"/>
          <w:color w:val="000000"/>
          <w:sz w:val="25"/>
          <w:szCs w:val="25"/>
        </w:rPr>
        <w:br/>
      </w:r>
    </w:p>
    <w:p w:rsidR="00FE10E9" w:rsidRPr="0064367A" w:rsidRDefault="00FE10E9" w:rsidP="0064367A"/>
    <w:sectPr w:rsidR="00FE10E9" w:rsidRPr="0064367A" w:rsidSect="00643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5E18"/>
    <w:rsid w:val="00256954"/>
    <w:rsid w:val="005840EC"/>
    <w:rsid w:val="005E0655"/>
    <w:rsid w:val="0064367A"/>
    <w:rsid w:val="007F0520"/>
    <w:rsid w:val="009C663F"/>
    <w:rsid w:val="00A55511"/>
    <w:rsid w:val="00B75BDE"/>
    <w:rsid w:val="00C35E18"/>
    <w:rsid w:val="00C41902"/>
    <w:rsid w:val="00CA46AF"/>
    <w:rsid w:val="00F62C42"/>
    <w:rsid w:val="00FE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E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Вальдман</cp:lastModifiedBy>
  <cp:revision>4</cp:revision>
  <cp:lastPrinted>2011-06-23T19:54:00Z</cp:lastPrinted>
  <dcterms:created xsi:type="dcterms:W3CDTF">2011-06-23T19:51:00Z</dcterms:created>
  <dcterms:modified xsi:type="dcterms:W3CDTF">2011-08-21T08:28:00Z</dcterms:modified>
</cp:coreProperties>
</file>